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eastAsia="zh-CN"/>
        </w:rPr>
        <w:t>关于</w:t>
      </w:r>
      <w:r>
        <w:rPr>
          <w:rFonts w:hint="eastAsia" w:ascii="方正小标宋_GBK" w:hAnsi="方正小标宋_GBK" w:eastAsia="方正小标宋_GBK" w:cs="方正小标宋_GBK"/>
          <w:sz w:val="36"/>
          <w:szCs w:val="36"/>
          <w:lang w:val="en-US" w:eastAsia="zh-CN"/>
        </w:rPr>
        <w:t>2020年河南省省级一流课程推荐结果的通知</w:t>
      </w:r>
    </w:p>
    <w:p>
      <w:pPr>
        <w:jc w:val="center"/>
        <w:rPr>
          <w:rFonts w:hint="eastAsia" w:ascii="方正小标宋_GBK" w:hAnsi="方正小标宋_GBK" w:eastAsia="方正小标宋_GBK" w:cs="方正小标宋_GBK"/>
          <w:sz w:val="30"/>
          <w:szCs w:val="30"/>
          <w:lang w:val="en-US" w:eastAsia="zh-CN"/>
        </w:rPr>
      </w:pPr>
    </w:p>
    <w:p>
      <w:pPr>
        <w:jc w:val="both"/>
        <w:rPr>
          <w:rFonts w:hint="eastAsia" w:ascii="仿宋" w:hAnsi="仿宋" w:eastAsia="仿宋" w:cs="仿宋"/>
          <w:sz w:val="30"/>
          <w:szCs w:val="30"/>
          <w:lang w:val="en-US" w:eastAsia="zh-CN"/>
        </w:rPr>
      </w:pPr>
      <w:bookmarkStart w:id="0" w:name="_GoBack"/>
      <w:bookmarkEnd w:id="0"/>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关于开展2020年省级一流本科课程认定工作的通知》（教办高〔2020〕306号）文件要求，学校认真组织了省级一流本科课程申报、推荐评审工作。经所在单位推荐、校内外专家评审，拟推荐《电磁场与电磁波》等24门课程参加省线下、线上线下混合式、社会实践一流本科课程认定评选；拟推荐《国际贸易》等4门2016-2019年立项建设的省级精品在线开放课程参加省线上一流本科课程认定评选；拟推荐2018-2019年立项建设的省级虚拟仿真实验教学项目《玉石雕刻工艺虚拟仿真实验教学项目》参加省虚拟仿真实验教学一流课程认定评选。</w:t>
      </w:r>
    </w:p>
    <w:p>
      <w:pPr>
        <w:ind w:firstLine="600" w:firstLineChars="200"/>
        <w:jc w:val="both"/>
        <w:rPr>
          <w:rFonts w:hint="eastAsia" w:ascii="仿宋" w:hAnsi="仿宋" w:eastAsia="仿宋" w:cs="仿宋"/>
          <w:sz w:val="30"/>
          <w:szCs w:val="30"/>
          <w:lang w:val="en-US" w:eastAsia="zh-CN"/>
        </w:rPr>
      </w:pPr>
    </w:p>
    <w:p>
      <w:pPr>
        <w:ind w:firstLine="600" w:firstLineChars="200"/>
        <w:jc w:val="both"/>
        <w:rPr>
          <w:rFonts w:hint="eastAsia" w:ascii="仿宋" w:hAnsi="仿宋" w:eastAsia="仿宋" w:cs="仿宋"/>
          <w:sz w:val="30"/>
          <w:szCs w:val="30"/>
          <w:lang w:val="en-US" w:eastAsia="zh-CN"/>
        </w:rPr>
      </w:pPr>
    </w:p>
    <w:p>
      <w:pPr>
        <w:ind w:firstLine="600" w:firstLineChars="200"/>
        <w:jc w:val="both"/>
        <w:rPr>
          <w:rFonts w:hint="eastAsia" w:ascii="仿宋" w:hAnsi="仿宋" w:eastAsia="仿宋" w:cs="仿宋"/>
          <w:sz w:val="30"/>
          <w:szCs w:val="30"/>
          <w:lang w:val="en-US" w:eastAsia="zh-CN"/>
        </w:rPr>
      </w:pPr>
    </w:p>
    <w:p>
      <w:pPr>
        <w:ind w:firstLine="600" w:firstLineChars="200"/>
        <w:jc w:val="both"/>
        <w:rPr>
          <w:rFonts w:hint="eastAsia" w:ascii="仿宋" w:hAnsi="仿宋" w:eastAsia="仿宋" w:cs="仿宋"/>
          <w:sz w:val="30"/>
          <w:szCs w:val="30"/>
          <w:lang w:val="en-US" w:eastAsia="zh-CN"/>
        </w:rPr>
      </w:pPr>
    </w:p>
    <w:p>
      <w:pPr>
        <w:ind w:firstLine="600" w:firstLineChars="200"/>
        <w:jc w:val="both"/>
        <w:rPr>
          <w:rFonts w:hint="eastAsia" w:ascii="仿宋" w:hAnsi="仿宋" w:eastAsia="仿宋" w:cs="仿宋"/>
          <w:sz w:val="30"/>
          <w:szCs w:val="30"/>
          <w:lang w:val="en-US" w:eastAsia="zh-CN"/>
        </w:rPr>
      </w:pPr>
    </w:p>
    <w:p>
      <w:pPr>
        <w:ind w:firstLine="600" w:firstLineChars="200"/>
        <w:jc w:val="both"/>
        <w:rPr>
          <w:rFonts w:hint="eastAsia" w:ascii="仿宋" w:hAnsi="仿宋" w:eastAsia="仿宋" w:cs="仿宋"/>
          <w:sz w:val="30"/>
          <w:szCs w:val="30"/>
          <w:lang w:val="en-US" w:eastAsia="zh-CN"/>
        </w:rPr>
      </w:pPr>
    </w:p>
    <w:p>
      <w:pPr>
        <w:ind w:firstLine="600" w:firstLineChars="200"/>
        <w:jc w:val="both"/>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附件1：2020年河南省一流课程推荐课程汇总表</w:t>
      </w:r>
    </w:p>
    <w:p>
      <w:pPr>
        <w:jc w:val="both"/>
        <w:rPr>
          <w:rFonts w:hint="eastAsia" w:ascii="仿宋" w:hAnsi="仿宋" w:eastAsia="仿宋" w:cs="仿宋"/>
          <w:sz w:val="30"/>
          <w:szCs w:val="30"/>
          <w:lang w:val="en-US" w:eastAsia="zh-CN"/>
        </w:rPr>
      </w:pPr>
    </w:p>
    <w:p>
      <w:pPr>
        <w:ind w:firstLine="600" w:firstLineChars="200"/>
        <w:jc w:val="both"/>
        <w:rPr>
          <w:rFonts w:hint="eastAsia" w:ascii="仿宋" w:hAnsi="仿宋" w:eastAsia="仿宋" w:cs="仿宋"/>
          <w:sz w:val="30"/>
          <w:szCs w:val="30"/>
          <w:lang w:val="en-US" w:eastAsia="zh-CN"/>
        </w:rPr>
      </w:pPr>
    </w:p>
    <w:p>
      <w:pPr>
        <w:ind w:firstLine="600" w:firstLineChars="200"/>
        <w:jc w:val="both"/>
        <w:rPr>
          <w:rFonts w:hint="eastAsia" w:ascii="仿宋" w:hAnsi="仿宋" w:eastAsia="仿宋" w:cs="仿宋"/>
          <w:sz w:val="30"/>
          <w:szCs w:val="30"/>
          <w:lang w:val="en-US" w:eastAsia="zh-CN"/>
        </w:rPr>
      </w:pPr>
    </w:p>
    <w:p>
      <w:pPr>
        <w:jc w:val="center"/>
        <w:rPr>
          <w:rFonts w:hint="eastAsia" w:ascii="方正小标宋_GBK" w:hAnsi="方正小标宋_GBK" w:eastAsia="方正小标宋_GBK" w:cs="方正小标宋_GBK"/>
          <w:sz w:val="30"/>
          <w:szCs w:val="30"/>
          <w:lang w:val="en-US" w:eastAsia="zh-CN"/>
        </w:rPr>
      </w:pPr>
      <w:r>
        <w:rPr>
          <w:rFonts w:hint="eastAsia" w:ascii="方正小标宋_GBK" w:hAnsi="方正小标宋_GBK" w:eastAsia="方正小标宋_GBK" w:cs="方正小标宋_GBK"/>
          <w:sz w:val="30"/>
          <w:szCs w:val="30"/>
          <w:lang w:val="en-US" w:eastAsia="zh-CN"/>
        </w:rPr>
        <w:t>2020年河南省一流课程推荐课程汇总表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4487"/>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left"/>
              <w:textAlignment w:val="center"/>
              <w:rPr>
                <w:rFonts w:hint="eastAsia" w:ascii="仿宋" w:hAnsi="仿宋" w:eastAsia="仿宋" w:cs="仿宋"/>
                <w:sz w:val="30"/>
                <w:szCs w:val="30"/>
                <w:vertAlign w:val="baseline"/>
                <w:lang w:val="en-US" w:eastAsia="zh-CN"/>
              </w:rPr>
            </w:pPr>
            <w:r>
              <w:rPr>
                <w:rFonts w:hint="eastAsia" w:ascii="宋体" w:hAnsi="宋体" w:eastAsia="宋体" w:cs="宋体"/>
                <w:i w:val="0"/>
                <w:color w:val="000000"/>
                <w:kern w:val="0"/>
                <w:sz w:val="22"/>
                <w:szCs w:val="22"/>
                <w:u w:val="none"/>
                <w:lang w:val="en-US" w:eastAsia="zh-CN" w:bidi="ar"/>
              </w:rPr>
              <w:t>序号</w:t>
            </w:r>
          </w:p>
        </w:tc>
        <w:tc>
          <w:tcPr>
            <w:tcW w:w="4487" w:type="dxa"/>
            <w:vAlign w:val="center"/>
          </w:tcPr>
          <w:p>
            <w:pPr>
              <w:keepNext w:val="0"/>
              <w:keepLines w:val="0"/>
              <w:widowControl/>
              <w:suppressLineNumbers w:val="0"/>
              <w:jc w:val="center"/>
              <w:textAlignment w:val="center"/>
              <w:rPr>
                <w:rFonts w:hint="eastAsia" w:ascii="仿宋" w:hAnsi="仿宋" w:eastAsia="仿宋" w:cs="仿宋"/>
                <w:sz w:val="30"/>
                <w:szCs w:val="30"/>
                <w:vertAlign w:val="baseline"/>
                <w:lang w:val="en-US" w:eastAsia="zh-CN"/>
              </w:rPr>
            </w:pPr>
            <w:r>
              <w:rPr>
                <w:rFonts w:hint="eastAsia" w:ascii="黑体" w:hAnsi="宋体" w:eastAsia="黑体" w:cs="黑体"/>
                <w:i w:val="0"/>
                <w:color w:val="000000"/>
                <w:kern w:val="0"/>
                <w:sz w:val="24"/>
                <w:szCs w:val="24"/>
                <w:u w:val="none"/>
                <w:lang w:val="en-US" w:eastAsia="zh-CN" w:bidi="ar"/>
              </w:rPr>
              <w:t>课程名称</w:t>
            </w:r>
          </w:p>
        </w:tc>
        <w:tc>
          <w:tcPr>
            <w:tcW w:w="2841" w:type="dxa"/>
            <w:vAlign w:val="center"/>
          </w:tcPr>
          <w:p>
            <w:pPr>
              <w:keepNext w:val="0"/>
              <w:keepLines w:val="0"/>
              <w:widowControl/>
              <w:suppressLineNumbers w:val="0"/>
              <w:jc w:val="center"/>
              <w:textAlignment w:val="center"/>
              <w:rPr>
                <w:rFonts w:hint="eastAsia" w:ascii="仿宋" w:hAnsi="仿宋" w:eastAsia="仿宋" w:cs="仿宋"/>
                <w:sz w:val="30"/>
                <w:szCs w:val="30"/>
                <w:vertAlign w:val="baseline"/>
                <w:lang w:val="en-US" w:eastAsia="zh-CN"/>
              </w:rPr>
            </w:pPr>
            <w:r>
              <w:rPr>
                <w:rFonts w:hint="eastAsia" w:ascii="黑体" w:hAnsi="宋体" w:eastAsia="黑体" w:cs="黑体"/>
                <w:i w:val="0"/>
                <w:color w:val="000000"/>
                <w:kern w:val="0"/>
                <w:sz w:val="24"/>
                <w:szCs w:val="24"/>
                <w:u w:val="none"/>
                <w:lang w:val="en-US" w:eastAsia="zh-CN" w:bidi="ar"/>
              </w:rPr>
              <w:t>申报类别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1</w:t>
            </w:r>
          </w:p>
        </w:tc>
        <w:tc>
          <w:tcPr>
            <w:tcW w:w="448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电磁场与电磁波</w:t>
            </w:r>
          </w:p>
        </w:tc>
        <w:tc>
          <w:tcPr>
            <w:tcW w:w="2841"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线下一流课程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2</w:t>
            </w:r>
          </w:p>
        </w:tc>
        <w:tc>
          <w:tcPr>
            <w:tcW w:w="448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普通心理学</w:t>
            </w:r>
          </w:p>
        </w:tc>
        <w:tc>
          <w:tcPr>
            <w:tcW w:w="2841"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线下一流课程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3</w:t>
            </w:r>
          </w:p>
        </w:tc>
        <w:tc>
          <w:tcPr>
            <w:tcW w:w="448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BIM技术原理及应用</w:t>
            </w:r>
          </w:p>
        </w:tc>
        <w:tc>
          <w:tcPr>
            <w:tcW w:w="2841"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线下一流课程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4</w:t>
            </w:r>
          </w:p>
        </w:tc>
        <w:tc>
          <w:tcPr>
            <w:tcW w:w="448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钢琴伴奏</w:t>
            </w:r>
          </w:p>
        </w:tc>
        <w:tc>
          <w:tcPr>
            <w:tcW w:w="2841"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线下一流课程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5</w:t>
            </w:r>
          </w:p>
        </w:tc>
        <w:tc>
          <w:tcPr>
            <w:tcW w:w="448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运输管理</w:t>
            </w:r>
          </w:p>
        </w:tc>
        <w:tc>
          <w:tcPr>
            <w:tcW w:w="2841"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线上线下混合式课程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6</w:t>
            </w:r>
          </w:p>
        </w:tc>
        <w:tc>
          <w:tcPr>
            <w:tcW w:w="448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细胞生物学</w:t>
            </w:r>
          </w:p>
        </w:tc>
        <w:tc>
          <w:tcPr>
            <w:tcW w:w="2841"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线上线下混合式课程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7</w:t>
            </w:r>
          </w:p>
        </w:tc>
        <w:tc>
          <w:tcPr>
            <w:tcW w:w="4487"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化工原理</w:t>
            </w:r>
          </w:p>
        </w:tc>
        <w:tc>
          <w:tcPr>
            <w:tcW w:w="2841"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线上线下混合式课程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44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化工原理实验</w:t>
            </w:r>
          </w:p>
        </w:tc>
        <w:tc>
          <w:tcPr>
            <w:tcW w:w="28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线上线下混合式课程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44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仪器分析</w:t>
            </w:r>
          </w:p>
        </w:tc>
        <w:tc>
          <w:tcPr>
            <w:tcW w:w="28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线上线下混合式课程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44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化学制药工艺学</w:t>
            </w:r>
          </w:p>
        </w:tc>
        <w:tc>
          <w:tcPr>
            <w:tcW w:w="28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线上线下混合式课程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44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会计学原理</w:t>
            </w:r>
          </w:p>
        </w:tc>
        <w:tc>
          <w:tcPr>
            <w:tcW w:w="28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线上线下混合式课程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44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社会心理学</w:t>
            </w:r>
          </w:p>
        </w:tc>
        <w:tc>
          <w:tcPr>
            <w:tcW w:w="28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线上线下混合式课程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44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数字测图原理与方法</w:t>
            </w:r>
          </w:p>
        </w:tc>
        <w:tc>
          <w:tcPr>
            <w:tcW w:w="28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线上线下混合式课程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44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力学</w:t>
            </w:r>
          </w:p>
        </w:tc>
        <w:tc>
          <w:tcPr>
            <w:tcW w:w="28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线上线下混合式课程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44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大学物理学</w:t>
            </w:r>
          </w:p>
        </w:tc>
        <w:tc>
          <w:tcPr>
            <w:tcW w:w="28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线上线下混合式课程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44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计算机网络原理与实验</w:t>
            </w:r>
          </w:p>
        </w:tc>
        <w:tc>
          <w:tcPr>
            <w:tcW w:w="28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线上线下混合式课程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44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中学教育基础</w:t>
            </w:r>
          </w:p>
        </w:tc>
        <w:tc>
          <w:tcPr>
            <w:tcW w:w="28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线上线下混合式课程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44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大学英语读写1</w:t>
            </w:r>
          </w:p>
        </w:tc>
        <w:tc>
          <w:tcPr>
            <w:tcW w:w="28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线上线下混合式课程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44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广告设计</w:t>
            </w:r>
          </w:p>
        </w:tc>
        <w:tc>
          <w:tcPr>
            <w:tcW w:w="28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线上线下混合式课程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44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理论力学</w:t>
            </w:r>
          </w:p>
        </w:tc>
        <w:tc>
          <w:tcPr>
            <w:tcW w:w="28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线上线下混合式课程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w:t>
            </w:r>
          </w:p>
        </w:tc>
        <w:tc>
          <w:tcPr>
            <w:tcW w:w="44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播音创作基础</w:t>
            </w:r>
          </w:p>
        </w:tc>
        <w:tc>
          <w:tcPr>
            <w:tcW w:w="28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线上线下混合式课程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44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英美文学选读</w:t>
            </w:r>
          </w:p>
        </w:tc>
        <w:tc>
          <w:tcPr>
            <w:tcW w:w="28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线上线下混合式课程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23</w:t>
            </w:r>
          </w:p>
        </w:tc>
        <w:tc>
          <w:tcPr>
            <w:tcW w:w="44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国际贸易</w:t>
            </w:r>
          </w:p>
        </w:tc>
        <w:tc>
          <w:tcPr>
            <w:tcW w:w="28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线上一流课程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24</w:t>
            </w:r>
          </w:p>
        </w:tc>
        <w:tc>
          <w:tcPr>
            <w:tcW w:w="44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分析化学</w:t>
            </w:r>
          </w:p>
        </w:tc>
        <w:tc>
          <w:tcPr>
            <w:tcW w:w="28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线上一流课程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25</w:t>
            </w:r>
          </w:p>
        </w:tc>
        <w:tc>
          <w:tcPr>
            <w:tcW w:w="44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刑事诉讼法学</w:t>
            </w:r>
          </w:p>
        </w:tc>
        <w:tc>
          <w:tcPr>
            <w:tcW w:w="28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线上一流课程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w:t>
            </w:r>
          </w:p>
        </w:tc>
        <w:tc>
          <w:tcPr>
            <w:tcW w:w="44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现代汉语</w:t>
            </w:r>
          </w:p>
        </w:tc>
        <w:tc>
          <w:tcPr>
            <w:tcW w:w="28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线上一流课程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27</w:t>
            </w:r>
          </w:p>
        </w:tc>
        <w:tc>
          <w:tcPr>
            <w:tcW w:w="44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玉石雕刻工艺虚拟仿真实验教学项目</w:t>
            </w:r>
          </w:p>
        </w:tc>
        <w:tc>
          <w:tcPr>
            <w:tcW w:w="28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虚拟仿真一流课程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28</w:t>
            </w:r>
          </w:p>
        </w:tc>
        <w:tc>
          <w:tcPr>
            <w:tcW w:w="4487"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模拟法庭</w:t>
            </w:r>
          </w:p>
        </w:tc>
        <w:tc>
          <w:tcPr>
            <w:tcW w:w="28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社会实践一流课程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29</w:t>
            </w:r>
          </w:p>
        </w:tc>
        <w:tc>
          <w:tcPr>
            <w:tcW w:w="4487"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学前儿童社会教育</w:t>
            </w:r>
          </w:p>
        </w:tc>
        <w:tc>
          <w:tcPr>
            <w:tcW w:w="284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社会实践一流课程</w:t>
            </w:r>
          </w:p>
        </w:tc>
      </w:tr>
    </w:tbl>
    <w:p>
      <w:pPr>
        <w:jc w:val="both"/>
        <w:rPr>
          <w:rFonts w:hint="eastAsia" w:ascii="仿宋" w:hAnsi="仿宋" w:eastAsia="仿宋" w:cs="仿宋"/>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16CF4"/>
    <w:rsid w:val="11077A10"/>
    <w:rsid w:val="20916DDE"/>
    <w:rsid w:val="2E216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2021-01-26T00:23:00Z</dcterms:created>
  <dc:creator>刘柏涛</dc:creator>
  <cp:lastModifiedBy>刘柏涛</cp:lastModifiedBy>
  <dcterms:modified xsi:type="dcterms:W3CDTF">2021-02-01T00:32:02Z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