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0" w:right="0" w:firstLine="645"/>
        <w:jc w:val="center"/>
        <w:rPr>
          <w:rFonts w:hint="eastAsia" w:ascii="方正小标宋_GBK" w:hAnsi="方正小标宋_GBK" w:eastAsia="方正小标宋_GBK" w:cs="方正小标宋_GBK"/>
          <w:kern w:val="0"/>
          <w:sz w:val="30"/>
          <w:szCs w:val="30"/>
          <w:shd w:val="clear" w:fill="FFFFFF"/>
          <w:lang w:val="en-US" w:eastAsia="zh-CN" w:bidi="ar"/>
        </w:rPr>
      </w:pPr>
      <w:r>
        <w:rPr>
          <w:rFonts w:hint="eastAsia" w:ascii="方正小标宋_GBK" w:hAnsi="方正小标宋_GBK" w:eastAsia="方正小标宋_GBK" w:cs="方正小标宋_GBK"/>
          <w:kern w:val="0"/>
          <w:sz w:val="30"/>
          <w:szCs w:val="30"/>
          <w:shd w:val="clear" w:fill="FFFFFF"/>
          <w:lang w:val="en-US" w:eastAsia="zh-CN" w:bidi="ar"/>
        </w:rPr>
        <w:t>2021年河南省教师教育课程改革研究推荐项目公示</w:t>
      </w:r>
    </w:p>
    <w:p>
      <w:pPr>
        <w:keepNext w:val="0"/>
        <w:keepLines w:val="0"/>
        <w:widowControl/>
        <w:suppressLineNumbers w:val="0"/>
        <w:shd w:val="clear" w:fill="FFFFFF"/>
        <w:spacing w:before="0" w:beforeAutospacing="0" w:after="0" w:afterAutospacing="0"/>
        <w:ind w:right="0"/>
        <w:jc w:val="left"/>
        <w:rPr>
          <w:rFonts w:hint="eastAsia" w:ascii="仿宋_GB2312" w:hAnsi="Times New Roman" w:eastAsia="仿宋_GB2312" w:cs="Times New Roman"/>
          <w:kern w:val="0"/>
          <w:sz w:val="30"/>
          <w:szCs w:val="30"/>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645"/>
        <w:jc w:val="left"/>
        <w:rPr>
          <w:rFonts w:hint="default" w:ascii="仿宋_GB2312" w:hAnsi="Times New Roman" w:eastAsia="仿宋_GB2312" w:cs="Times New Roman"/>
          <w:kern w:val="0"/>
          <w:sz w:val="30"/>
          <w:szCs w:val="30"/>
          <w:shd w:val="clear" w:fill="FFFFFF"/>
          <w:lang w:val="en-US" w:eastAsia="zh-CN" w:bidi="ar"/>
        </w:rPr>
      </w:pPr>
      <w:r>
        <w:rPr>
          <w:rFonts w:ascii="仿宋_GB2312" w:hAnsi="Times New Roman" w:eastAsia="仿宋_GB2312" w:cs="Times New Roman"/>
          <w:kern w:val="0"/>
          <w:sz w:val="30"/>
          <w:szCs w:val="30"/>
          <w:shd w:val="clear" w:fill="FFFFFF"/>
          <w:lang w:val="en-US" w:eastAsia="zh-CN" w:bidi="ar"/>
        </w:rPr>
        <w:t>根据河南省教育厅《关于组织申报</w:t>
      </w:r>
      <w:r>
        <w:rPr>
          <w:rFonts w:hint="eastAsia" w:ascii="仿宋_GB2312" w:hAnsi="Times New Roman" w:eastAsia="仿宋_GB2312" w:cs="Times New Roman"/>
          <w:kern w:val="0"/>
          <w:sz w:val="30"/>
          <w:szCs w:val="30"/>
          <w:shd w:val="clear" w:fill="FFFFFF"/>
          <w:lang w:val="en-US" w:eastAsia="zh-CN" w:bidi="ar"/>
        </w:rPr>
        <w:t>2021</w:t>
      </w:r>
      <w:r>
        <w:rPr>
          <w:rFonts w:ascii="仿宋_GB2312" w:hAnsi="Times New Roman" w:eastAsia="仿宋_GB2312" w:cs="Times New Roman"/>
          <w:kern w:val="0"/>
          <w:sz w:val="30"/>
          <w:szCs w:val="30"/>
          <w:shd w:val="clear" w:fill="FFFFFF"/>
          <w:lang w:val="en-US" w:eastAsia="zh-CN" w:bidi="ar"/>
        </w:rPr>
        <w:t>年度教师教育课程改革研究项目的通知》（教师</w:t>
      </w:r>
      <w:r>
        <w:rPr>
          <w:rFonts w:hint="eastAsia" w:ascii="宋体" w:hAnsi="宋体" w:eastAsia="宋体" w:cs="宋体"/>
          <w:kern w:val="0"/>
          <w:sz w:val="30"/>
          <w:szCs w:val="30"/>
          <w:shd w:val="clear" w:fill="FFFFFF"/>
          <w:lang w:val="en-US" w:eastAsia="zh-CN" w:bidi="ar"/>
        </w:rPr>
        <w:t>〔</w:t>
      </w:r>
      <w:r>
        <w:rPr>
          <w:rFonts w:hint="default" w:ascii="仿宋_GB2312" w:hAnsi="Times New Roman" w:eastAsia="仿宋_GB2312" w:cs="Times New Roman"/>
          <w:kern w:val="0"/>
          <w:sz w:val="30"/>
          <w:szCs w:val="30"/>
          <w:shd w:val="clear" w:fill="FFFFFF"/>
          <w:lang w:val="en-US" w:eastAsia="zh-CN" w:bidi="ar"/>
        </w:rPr>
        <w:t>202</w:t>
      </w:r>
      <w:r>
        <w:rPr>
          <w:rFonts w:hint="eastAsia" w:ascii="仿宋_GB2312" w:hAnsi="Times New Roman" w:eastAsia="仿宋_GB2312" w:cs="Times New Roman"/>
          <w:kern w:val="0"/>
          <w:sz w:val="30"/>
          <w:szCs w:val="30"/>
          <w:shd w:val="clear" w:fill="FFFFFF"/>
          <w:lang w:val="en-US" w:eastAsia="zh-CN" w:bidi="ar"/>
        </w:rPr>
        <w:t>1</w:t>
      </w:r>
      <w:r>
        <w:rPr>
          <w:rFonts w:hint="eastAsia" w:ascii="宋体" w:hAnsi="宋体" w:eastAsia="宋体" w:cs="宋体"/>
          <w:kern w:val="0"/>
          <w:sz w:val="30"/>
          <w:szCs w:val="30"/>
          <w:shd w:val="clear" w:fill="FFFFFF"/>
          <w:lang w:val="en-US" w:eastAsia="zh-CN" w:bidi="ar"/>
        </w:rPr>
        <w:t>〕</w:t>
      </w:r>
      <w:r>
        <w:rPr>
          <w:rFonts w:hint="eastAsia" w:ascii="仿宋_GB2312" w:hAnsi="Times New Roman" w:eastAsia="仿宋_GB2312" w:cs="Times New Roman"/>
          <w:kern w:val="0"/>
          <w:sz w:val="30"/>
          <w:szCs w:val="30"/>
          <w:shd w:val="clear" w:fill="FFFFFF"/>
          <w:lang w:val="en-US" w:eastAsia="zh-CN" w:bidi="ar"/>
        </w:rPr>
        <w:t>45</w:t>
      </w:r>
      <w:r>
        <w:rPr>
          <w:rFonts w:hint="default" w:ascii="仿宋_GB2312" w:hAnsi="Times New Roman" w:eastAsia="仿宋_GB2312" w:cs="Times New Roman"/>
          <w:kern w:val="0"/>
          <w:sz w:val="30"/>
          <w:szCs w:val="30"/>
          <w:shd w:val="clear" w:fill="FFFFFF"/>
          <w:lang w:val="en-US" w:eastAsia="zh-CN" w:bidi="ar"/>
        </w:rPr>
        <w:t>）文件精神，教务处组织了202</w:t>
      </w:r>
      <w:r>
        <w:rPr>
          <w:rFonts w:hint="eastAsia" w:ascii="仿宋_GB2312" w:hAnsi="Times New Roman" w:eastAsia="仿宋_GB2312" w:cs="Times New Roman"/>
          <w:kern w:val="0"/>
          <w:sz w:val="30"/>
          <w:szCs w:val="30"/>
          <w:shd w:val="clear" w:fill="FFFFFF"/>
          <w:lang w:val="en-US" w:eastAsia="zh-CN" w:bidi="ar"/>
        </w:rPr>
        <w:t>1</w:t>
      </w:r>
      <w:r>
        <w:rPr>
          <w:rFonts w:hint="default" w:ascii="仿宋_GB2312" w:hAnsi="Times New Roman" w:eastAsia="仿宋_GB2312" w:cs="Times New Roman"/>
          <w:kern w:val="0"/>
          <w:sz w:val="30"/>
          <w:szCs w:val="30"/>
          <w:shd w:val="clear" w:fill="FFFFFF"/>
          <w:lang w:val="en-US" w:eastAsia="zh-CN" w:bidi="ar"/>
        </w:rPr>
        <w:t>年“教师教育课程改革项目”申报评审工作。根据省教育厅的申报指标，经项目</w:t>
      </w:r>
      <w:r>
        <w:rPr>
          <w:rFonts w:hint="eastAsia" w:ascii="仿宋_GB2312" w:hAnsi="Times New Roman" w:eastAsia="仿宋_GB2312" w:cs="Times New Roman"/>
          <w:kern w:val="0"/>
          <w:sz w:val="30"/>
          <w:szCs w:val="30"/>
          <w:shd w:val="clear" w:fill="FFFFFF"/>
          <w:lang w:val="en-US" w:eastAsia="zh-CN" w:bidi="ar"/>
        </w:rPr>
        <w:t>主持人</w:t>
      </w:r>
      <w:r>
        <w:rPr>
          <w:rFonts w:hint="default" w:ascii="仿宋_GB2312" w:hAnsi="Times New Roman" w:eastAsia="仿宋_GB2312" w:cs="Times New Roman"/>
          <w:kern w:val="0"/>
          <w:sz w:val="30"/>
          <w:szCs w:val="30"/>
          <w:shd w:val="clear" w:fill="FFFFFF"/>
          <w:lang w:val="en-US" w:eastAsia="zh-CN" w:bidi="ar"/>
        </w:rPr>
        <w:t>申请，</w:t>
      </w:r>
      <w:r>
        <w:rPr>
          <w:rFonts w:hint="eastAsia" w:ascii="仿宋_GB2312" w:hAnsi="Times New Roman" w:eastAsia="仿宋_GB2312" w:cs="Times New Roman"/>
          <w:kern w:val="0"/>
          <w:sz w:val="30"/>
          <w:szCs w:val="30"/>
          <w:shd w:val="clear" w:fill="FFFFFF"/>
          <w:lang w:val="en-US" w:eastAsia="zh-CN" w:bidi="ar"/>
        </w:rPr>
        <w:t>学院推荐，</w:t>
      </w:r>
      <w:r>
        <w:rPr>
          <w:rFonts w:hint="default" w:ascii="仿宋_GB2312" w:hAnsi="Times New Roman" w:eastAsia="仿宋_GB2312" w:cs="Times New Roman"/>
          <w:kern w:val="0"/>
          <w:sz w:val="30"/>
          <w:szCs w:val="30"/>
          <w:shd w:val="clear" w:fill="FFFFFF"/>
          <w:lang w:val="en-US" w:eastAsia="zh-CN" w:bidi="ar"/>
        </w:rPr>
        <w:t>专家评审，经学校研究，</w:t>
      </w:r>
      <w:r>
        <w:rPr>
          <w:rFonts w:ascii="仿宋" w:hAnsi="仿宋" w:eastAsia="仿宋" w:cs="仿宋"/>
          <w:kern w:val="2"/>
          <w:sz w:val="28"/>
          <w:szCs w:val="28"/>
          <w:shd w:val="clear" w:fill="FFFFFF"/>
          <w:lang w:val="en-US" w:eastAsia="zh-CN" w:bidi="ar"/>
        </w:rPr>
        <w:t>拟推荐上报</w:t>
      </w:r>
      <w:r>
        <w:rPr>
          <w:rFonts w:hint="eastAsia" w:ascii="仿宋" w:hAnsi="仿宋" w:eastAsia="仿宋" w:cs="仿宋"/>
          <w:kern w:val="2"/>
          <w:sz w:val="28"/>
          <w:szCs w:val="28"/>
          <w:shd w:val="clear" w:fill="FFFFFF"/>
          <w:lang w:val="en-US" w:eastAsia="zh-CN" w:bidi="ar"/>
        </w:rPr>
        <w:t>《</w:t>
      </w:r>
      <w:r>
        <w:rPr>
          <w:rFonts w:hint="default" w:ascii="仿宋_GB2312" w:hAnsi="Times New Roman" w:eastAsia="仿宋_GB2312" w:cs="Times New Roman"/>
          <w:kern w:val="0"/>
          <w:sz w:val="30"/>
          <w:szCs w:val="30"/>
          <w:shd w:val="clear" w:fill="FFFFFF"/>
          <w:lang w:val="en-US" w:eastAsia="zh-CN" w:bidi="ar"/>
        </w:rPr>
        <w:t>四工程强基、三协同育人——高校中文师范生核心素养提升新模式探究》等15个项目。现予以公示，公示期3天。对评审结果有异议者，请将异议以书面形式向教务处反映。</w:t>
      </w:r>
    </w:p>
    <w:p>
      <w:pPr>
        <w:keepNext w:val="0"/>
        <w:keepLines w:val="0"/>
        <w:widowControl/>
        <w:suppressLineNumbers w:val="0"/>
        <w:shd w:val="clear" w:fill="FFFFFF"/>
        <w:spacing w:before="0" w:beforeAutospacing="0" w:after="0" w:afterAutospacing="0"/>
        <w:ind w:left="0" w:right="0" w:firstLine="645"/>
        <w:jc w:val="left"/>
        <w:rPr>
          <w:rFonts w:hint="default" w:ascii="仿宋_GB2312" w:hAnsi="Times New Roman" w:eastAsia="仿宋_GB2312" w:cs="Times New Roman"/>
          <w:kern w:val="0"/>
          <w:sz w:val="30"/>
          <w:szCs w:val="30"/>
          <w:shd w:val="clear" w:fill="FFFFFF"/>
          <w:lang w:val="en-US" w:eastAsia="zh-CN" w:bidi="ar"/>
        </w:rPr>
      </w:pPr>
    </w:p>
    <w:p>
      <w:pPr>
        <w:keepNext w:val="0"/>
        <w:keepLines w:val="0"/>
        <w:widowControl/>
        <w:suppressLineNumbers w:val="0"/>
        <w:shd w:val="clear" w:fill="FFFFFF"/>
        <w:wordWrap w:val="0"/>
        <w:spacing w:before="0" w:beforeAutospacing="0" w:after="0" w:afterAutospacing="0"/>
        <w:ind w:left="0" w:right="0" w:firstLine="645"/>
        <w:jc w:val="right"/>
        <w:rPr>
          <w:rFonts w:hint="default"/>
          <w:lang w:val="en-US"/>
        </w:rPr>
      </w:pPr>
      <w:r>
        <w:rPr>
          <w:rFonts w:hint="default" w:ascii="仿宋_GB2312" w:hAnsi="Times New Roman" w:eastAsia="仿宋_GB2312" w:cs="Times New Roman"/>
          <w:kern w:val="0"/>
          <w:sz w:val="30"/>
          <w:szCs w:val="30"/>
          <w:shd w:val="clear" w:fill="FFFFFF"/>
          <w:lang w:val="en-US" w:eastAsia="zh-CN" w:bidi="ar"/>
        </w:rPr>
        <w:t>教务处</w:t>
      </w:r>
      <w:r>
        <w:rPr>
          <w:rFonts w:hint="eastAsia" w:ascii="仿宋_GB2312" w:hAnsi="Times New Roman" w:eastAsia="仿宋_GB2312" w:cs="Times New Roman"/>
          <w:kern w:val="0"/>
          <w:sz w:val="30"/>
          <w:szCs w:val="30"/>
          <w:shd w:val="clear" w:fill="FFFFFF"/>
          <w:lang w:val="en-US" w:eastAsia="zh-CN" w:bidi="ar"/>
        </w:rPr>
        <w:t xml:space="preserve">    </w:t>
      </w:r>
    </w:p>
    <w:p>
      <w:pPr>
        <w:keepNext w:val="0"/>
        <w:keepLines w:val="0"/>
        <w:widowControl/>
        <w:suppressLineNumbers w:val="0"/>
        <w:shd w:val="clear" w:fill="FFFFFF"/>
        <w:wordWrap w:val="0"/>
        <w:spacing w:before="0" w:beforeAutospacing="0" w:after="0" w:afterAutospacing="0"/>
        <w:ind w:left="0" w:right="0" w:firstLine="645"/>
        <w:jc w:val="right"/>
        <w:rPr>
          <w:rFonts w:hint="default"/>
          <w:lang w:val="en-US"/>
        </w:rPr>
      </w:pPr>
      <w:r>
        <w:rPr>
          <w:rFonts w:hint="default" w:ascii="仿宋_GB2312" w:hAnsi="Times New Roman" w:eastAsia="仿宋_GB2312" w:cs="Times New Roman"/>
          <w:kern w:val="0"/>
          <w:sz w:val="30"/>
          <w:szCs w:val="30"/>
          <w:shd w:val="clear" w:fill="FFFFFF"/>
          <w:lang w:val="en-US" w:eastAsia="zh-CN" w:bidi="ar"/>
        </w:rPr>
        <w:t>202</w:t>
      </w:r>
      <w:r>
        <w:rPr>
          <w:rFonts w:hint="eastAsia" w:ascii="仿宋_GB2312" w:hAnsi="Times New Roman" w:eastAsia="仿宋_GB2312" w:cs="Times New Roman"/>
          <w:kern w:val="0"/>
          <w:sz w:val="30"/>
          <w:szCs w:val="30"/>
          <w:shd w:val="clear" w:fill="FFFFFF"/>
          <w:lang w:val="en-US" w:eastAsia="zh-CN" w:bidi="ar"/>
        </w:rPr>
        <w:t>1</w:t>
      </w:r>
      <w:r>
        <w:rPr>
          <w:rFonts w:hint="default" w:ascii="仿宋_GB2312" w:hAnsi="Times New Roman" w:eastAsia="仿宋_GB2312" w:cs="Times New Roman"/>
          <w:kern w:val="0"/>
          <w:sz w:val="30"/>
          <w:szCs w:val="30"/>
          <w:shd w:val="clear" w:fill="FFFFFF"/>
          <w:lang w:val="en-US" w:eastAsia="zh-CN" w:bidi="ar"/>
        </w:rPr>
        <w:t>.</w:t>
      </w:r>
      <w:r>
        <w:rPr>
          <w:rFonts w:hint="eastAsia" w:ascii="仿宋_GB2312" w:hAnsi="Times New Roman" w:eastAsia="仿宋_GB2312" w:cs="Times New Roman"/>
          <w:kern w:val="0"/>
          <w:sz w:val="30"/>
          <w:szCs w:val="30"/>
          <w:shd w:val="clear" w:fill="FFFFFF"/>
          <w:lang w:val="en-US" w:eastAsia="zh-CN" w:bidi="ar"/>
        </w:rPr>
        <w:t>2</w:t>
      </w:r>
      <w:r>
        <w:rPr>
          <w:rFonts w:hint="default" w:ascii="仿宋_GB2312" w:hAnsi="Times New Roman" w:eastAsia="仿宋_GB2312" w:cs="Times New Roman"/>
          <w:kern w:val="0"/>
          <w:sz w:val="30"/>
          <w:szCs w:val="30"/>
          <w:shd w:val="clear" w:fill="FFFFFF"/>
          <w:lang w:val="en-US" w:eastAsia="zh-CN" w:bidi="ar"/>
        </w:rPr>
        <w:t>.</w:t>
      </w:r>
      <w:r>
        <w:rPr>
          <w:rFonts w:hint="eastAsia" w:ascii="仿宋_GB2312" w:hAnsi="Times New Roman" w:eastAsia="仿宋_GB2312" w:cs="Times New Roman"/>
          <w:kern w:val="0"/>
          <w:sz w:val="30"/>
          <w:szCs w:val="30"/>
          <w:shd w:val="clear" w:fill="FFFFFF"/>
          <w:lang w:val="en-US" w:eastAsia="zh-CN" w:bidi="ar"/>
        </w:rPr>
        <w:t xml:space="preserve">27    </w:t>
      </w:r>
    </w:p>
    <w:p/>
    <w:p/>
    <w:p/>
    <w:p/>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2021年河南省教师教育</w:t>
      </w:r>
      <w:r>
        <w:rPr>
          <w:rFonts w:hint="eastAsia" w:ascii="仿宋" w:hAnsi="仿宋" w:eastAsia="仿宋" w:cs="仿宋"/>
          <w:sz w:val="28"/>
          <w:szCs w:val="28"/>
          <w:lang w:eastAsia="zh-CN"/>
        </w:rPr>
        <w:t>改革</w:t>
      </w:r>
      <w:r>
        <w:rPr>
          <w:rFonts w:hint="eastAsia" w:ascii="仿宋" w:hAnsi="仿宋" w:eastAsia="仿宋" w:cs="仿宋"/>
          <w:sz w:val="28"/>
          <w:szCs w:val="28"/>
        </w:rPr>
        <w:t>项目推荐</w:t>
      </w:r>
      <w:r>
        <w:rPr>
          <w:rFonts w:hint="eastAsia" w:ascii="仿宋" w:hAnsi="仿宋" w:eastAsia="仿宋" w:cs="仿宋"/>
          <w:sz w:val="28"/>
          <w:szCs w:val="28"/>
          <w:lang w:eastAsia="zh-CN"/>
        </w:rPr>
        <w:t>名单</w:t>
      </w:r>
    </w:p>
    <w:p/>
    <w:p/>
    <w:p/>
    <w:p/>
    <w:p/>
    <w:p/>
    <w:p/>
    <w:p/>
    <w:p/>
    <w:p/>
    <w:p/>
    <w:p>
      <w:pPr>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rPr>
        <w:t>2021年河南省教师教育</w:t>
      </w:r>
      <w:r>
        <w:rPr>
          <w:rFonts w:hint="eastAsia" w:ascii="方正小标宋_GBK" w:hAnsi="方正小标宋_GBK" w:eastAsia="方正小标宋_GBK" w:cs="方正小标宋_GBK"/>
          <w:sz w:val="32"/>
          <w:szCs w:val="32"/>
          <w:lang w:eastAsia="zh-CN"/>
        </w:rPr>
        <w:t>改革</w:t>
      </w:r>
      <w:r>
        <w:rPr>
          <w:rFonts w:hint="eastAsia" w:ascii="方正小标宋_GBK" w:hAnsi="方正小标宋_GBK" w:eastAsia="方正小标宋_GBK" w:cs="方正小标宋_GBK"/>
          <w:sz w:val="32"/>
          <w:szCs w:val="32"/>
        </w:rPr>
        <w:t>项目推荐</w:t>
      </w:r>
      <w:r>
        <w:rPr>
          <w:rFonts w:hint="eastAsia" w:ascii="方正小标宋_GBK" w:hAnsi="方正小标宋_GBK" w:eastAsia="方正小标宋_GBK" w:cs="方正小标宋_GBK"/>
          <w:sz w:val="32"/>
          <w:szCs w:val="32"/>
          <w:lang w:eastAsia="zh-CN"/>
        </w:rPr>
        <w:t>名单</w:t>
      </w:r>
    </w:p>
    <w:p>
      <w:pPr>
        <w:jc w:val="left"/>
      </w:pPr>
    </w:p>
    <w:tbl>
      <w:tblPr>
        <w:tblStyle w:val="2"/>
        <w:tblpPr w:leftFromText="180" w:rightFromText="180" w:vertAnchor="text" w:horzAnchor="page" w:tblpXSpec="center" w:tblpY="288"/>
        <w:tblOverlap w:val="never"/>
        <w:tblW w:w="9095" w:type="dxa"/>
        <w:jc w:val="center"/>
        <w:shd w:val="clear" w:color="auto" w:fill="auto"/>
        <w:tblLayout w:type="autofit"/>
        <w:tblCellMar>
          <w:top w:w="0" w:type="dxa"/>
          <w:left w:w="0" w:type="dxa"/>
          <w:bottom w:w="0" w:type="dxa"/>
          <w:right w:w="0" w:type="dxa"/>
        </w:tblCellMar>
      </w:tblPr>
      <w:tblGrid>
        <w:gridCol w:w="705"/>
        <w:gridCol w:w="7565"/>
        <w:gridCol w:w="825"/>
      </w:tblGrid>
      <w:tr>
        <w:tblPrEx>
          <w:shd w:val="clear" w:color="auto" w:fill="auto"/>
          <w:tblCellMar>
            <w:top w:w="0" w:type="dxa"/>
            <w:left w:w="0" w:type="dxa"/>
            <w:bottom w:w="0" w:type="dxa"/>
            <w:right w:w="0" w:type="dxa"/>
          </w:tblCellMar>
        </w:tblPrEx>
        <w:trPr>
          <w:trHeight w:val="39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项目名称</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类别</w:t>
            </w:r>
          </w:p>
        </w:tc>
      </w:tr>
      <w:tr>
        <w:tblPrEx>
          <w:tblCellMar>
            <w:top w:w="0" w:type="dxa"/>
            <w:left w:w="0" w:type="dxa"/>
            <w:bottom w:w="0" w:type="dxa"/>
            <w:right w:w="0" w:type="dxa"/>
          </w:tblCellMar>
        </w:tblPrEx>
        <w:trPr>
          <w:trHeight w:val="39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四工程强基、三协同育人——高校中文师范生核心素养提升新模式探究</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重点</w:t>
            </w:r>
          </w:p>
        </w:tc>
      </w:tr>
      <w:tr>
        <w:tblPrEx>
          <w:tblCellMar>
            <w:top w:w="0" w:type="dxa"/>
            <w:left w:w="0" w:type="dxa"/>
            <w:bottom w:w="0" w:type="dxa"/>
            <w:right w:w="0" w:type="dxa"/>
          </w:tblCellMar>
        </w:tblPrEx>
        <w:trPr>
          <w:trHeight w:val="39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kern w:val="2"/>
                <w:sz w:val="24"/>
                <w:szCs w:val="24"/>
                <w:u w:val="none"/>
                <w:lang w:val="en-US" w:eastAsia="zh-CN" w:bidi="ar-SA"/>
              </w:rPr>
            </w:pPr>
            <w:r>
              <w:rPr>
                <w:rFonts w:hint="eastAsia" w:ascii="仿宋" w:hAnsi="仿宋" w:eastAsia="仿宋" w:cs="仿宋"/>
                <w:i w:val="0"/>
                <w:color w:val="231815"/>
                <w:kern w:val="0"/>
                <w:sz w:val="24"/>
                <w:szCs w:val="24"/>
                <w:u w:val="none"/>
                <w:lang w:val="en-US" w:eastAsia="zh-CN" w:bidi="ar"/>
              </w:rPr>
              <w:t>基于“核心素养”体系建设背景下中物理教学模式研究</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重点</w:t>
            </w:r>
          </w:p>
        </w:tc>
      </w:tr>
      <w:tr>
        <w:tblPrEx>
          <w:tblCellMar>
            <w:top w:w="0" w:type="dxa"/>
            <w:left w:w="0" w:type="dxa"/>
            <w:bottom w:w="0" w:type="dxa"/>
            <w:right w:w="0" w:type="dxa"/>
          </w:tblCellMar>
        </w:tblPrEx>
        <w:trPr>
          <w:trHeight w:val="39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地方公费师范生化学专业人才培养全过程的模式研究</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重点</w:t>
            </w:r>
          </w:p>
        </w:tc>
      </w:tr>
      <w:tr>
        <w:tblPrEx>
          <w:tblCellMar>
            <w:top w:w="0" w:type="dxa"/>
            <w:left w:w="0" w:type="dxa"/>
            <w:bottom w:w="0" w:type="dxa"/>
            <w:right w:w="0" w:type="dxa"/>
          </w:tblCellMar>
        </w:tblPrEx>
        <w:trPr>
          <w:trHeight w:val="39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南阳师范学院“国培计划”优秀学员成长案例研究</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重点</w:t>
            </w:r>
          </w:p>
        </w:tc>
      </w:tr>
      <w:tr>
        <w:tblPrEx>
          <w:tblCellMar>
            <w:top w:w="0" w:type="dxa"/>
            <w:left w:w="0" w:type="dxa"/>
            <w:bottom w:w="0" w:type="dxa"/>
            <w:right w:w="0" w:type="dxa"/>
          </w:tblCellMar>
        </w:tblPrEx>
        <w:trPr>
          <w:trHeight w:val="39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w:t>
            </w:r>
            <w:r>
              <w:rPr>
                <w:rStyle w:val="4"/>
                <w:lang w:val="en-US" w:eastAsia="zh-CN" w:bidi="ar"/>
              </w:rPr>
              <w:t>1+N”教师共同体视域下的公费师范生专业实践能力提升的研究与实践</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重点</w:t>
            </w:r>
          </w:p>
        </w:tc>
      </w:tr>
      <w:tr>
        <w:tblPrEx>
          <w:tblCellMar>
            <w:top w:w="0" w:type="dxa"/>
            <w:left w:w="0" w:type="dxa"/>
            <w:bottom w:w="0" w:type="dxa"/>
            <w:right w:w="0" w:type="dxa"/>
          </w:tblCellMar>
        </w:tblPrEx>
        <w:trPr>
          <w:trHeight w:val="39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大学化学与高中化学教学衔接问题的研究与实践</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一般</w:t>
            </w:r>
          </w:p>
        </w:tc>
      </w:tr>
      <w:tr>
        <w:tblPrEx>
          <w:tblCellMar>
            <w:top w:w="0" w:type="dxa"/>
            <w:left w:w="0" w:type="dxa"/>
            <w:bottom w:w="0" w:type="dxa"/>
            <w:right w:w="0" w:type="dxa"/>
          </w:tblCellMar>
        </w:tblPrEx>
        <w:trPr>
          <w:trHeight w:val="36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“对分+PBL”教学模式下的中学生心理辅导课程改革与实践</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一般</w:t>
            </w:r>
          </w:p>
        </w:tc>
      </w:tr>
      <w:tr>
        <w:tblPrEx>
          <w:tblCellMar>
            <w:top w:w="0" w:type="dxa"/>
            <w:left w:w="0" w:type="dxa"/>
            <w:bottom w:w="0" w:type="dxa"/>
            <w:right w:w="0" w:type="dxa"/>
          </w:tblCellMar>
        </w:tblPrEx>
        <w:trPr>
          <w:trHeight w:val="36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师范专业认证视阈下美术学师范生“U-G-S</w:t>
            </w:r>
            <w:r>
              <w:rPr>
                <w:rStyle w:val="4"/>
                <w:lang w:val="en-US" w:eastAsia="zh-CN" w:bidi="ar"/>
              </w:rPr>
              <w:t xml:space="preserve">”培养模式的构建与实施  </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一般</w:t>
            </w:r>
          </w:p>
        </w:tc>
      </w:tr>
      <w:tr>
        <w:tblPrEx>
          <w:tblCellMar>
            <w:top w:w="0" w:type="dxa"/>
            <w:left w:w="0" w:type="dxa"/>
            <w:bottom w:w="0" w:type="dxa"/>
            <w:right w:w="0" w:type="dxa"/>
          </w:tblCellMar>
        </w:tblPrEx>
        <w:trPr>
          <w:trHeight w:val="36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基于教师行业需求下高校师范生教学实践能力提升研究</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一般</w:t>
            </w:r>
          </w:p>
        </w:tc>
      </w:tr>
      <w:tr>
        <w:tblPrEx>
          <w:tblCellMar>
            <w:top w:w="0" w:type="dxa"/>
            <w:left w:w="0" w:type="dxa"/>
            <w:bottom w:w="0" w:type="dxa"/>
            <w:right w:w="0" w:type="dxa"/>
          </w:tblCellMar>
        </w:tblPrEx>
        <w:trPr>
          <w:trHeight w:val="36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英语专业地方公费师范生培养中学习动机干预路径探索与实践</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一般</w:t>
            </w:r>
          </w:p>
        </w:tc>
      </w:tr>
      <w:tr>
        <w:tblPrEx>
          <w:tblCellMar>
            <w:top w:w="0" w:type="dxa"/>
            <w:left w:w="0" w:type="dxa"/>
            <w:bottom w:w="0" w:type="dxa"/>
            <w:right w:w="0" w:type="dxa"/>
          </w:tblCellMar>
        </w:tblPrEx>
        <w:trPr>
          <w:trHeight w:val="36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基于核心素养的中小学英语教师职前培养研究</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一般</w:t>
            </w:r>
          </w:p>
        </w:tc>
      </w:tr>
      <w:tr>
        <w:tblPrEx>
          <w:tblCellMar>
            <w:top w:w="0" w:type="dxa"/>
            <w:left w:w="0" w:type="dxa"/>
            <w:bottom w:w="0" w:type="dxa"/>
            <w:right w:w="0" w:type="dxa"/>
          </w:tblCellMar>
        </w:tblPrEx>
        <w:trPr>
          <w:trHeight w:val="36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新高考改革背景下中小学“生涯教育”课程的构建与实践研究</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一般</w:t>
            </w:r>
          </w:p>
        </w:tc>
      </w:tr>
      <w:tr>
        <w:tblPrEx>
          <w:tblCellMar>
            <w:top w:w="0" w:type="dxa"/>
            <w:left w:w="0" w:type="dxa"/>
            <w:bottom w:w="0" w:type="dxa"/>
            <w:right w:w="0" w:type="dxa"/>
          </w:tblCellMar>
        </w:tblPrEx>
        <w:trPr>
          <w:trHeight w:val="36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新文科背景下河南省高校音乐专业公费师范生教育实践研究</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一般</w:t>
            </w:r>
          </w:p>
        </w:tc>
      </w:tr>
      <w:tr>
        <w:tblPrEx>
          <w:tblCellMar>
            <w:top w:w="0" w:type="dxa"/>
            <w:left w:w="0" w:type="dxa"/>
            <w:bottom w:w="0" w:type="dxa"/>
            <w:right w:w="0" w:type="dxa"/>
          </w:tblCellMar>
        </w:tblPrEx>
        <w:trPr>
          <w:trHeight w:val="36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新形势下地方高师院校历史学专业师范生培养模式改革的探索与实践</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一般</w:t>
            </w:r>
          </w:p>
        </w:tc>
      </w:tr>
      <w:tr>
        <w:tblPrEx>
          <w:tblCellMar>
            <w:top w:w="0" w:type="dxa"/>
            <w:left w:w="0" w:type="dxa"/>
            <w:bottom w:w="0" w:type="dxa"/>
            <w:right w:w="0" w:type="dxa"/>
          </w:tblCellMar>
        </w:tblPrEx>
        <w:trPr>
          <w:trHeight w:val="36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7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高校地理师范专业线上线下混合式教学模式应用研究</w:t>
            </w:r>
          </w:p>
        </w:tc>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31815"/>
                <w:sz w:val="24"/>
                <w:szCs w:val="24"/>
                <w:u w:val="none"/>
              </w:rPr>
            </w:pPr>
            <w:r>
              <w:rPr>
                <w:rFonts w:hint="eastAsia" w:ascii="仿宋" w:hAnsi="仿宋" w:eastAsia="仿宋" w:cs="仿宋"/>
                <w:i w:val="0"/>
                <w:color w:val="231815"/>
                <w:kern w:val="0"/>
                <w:sz w:val="24"/>
                <w:szCs w:val="24"/>
                <w:u w:val="none"/>
                <w:lang w:val="en-US" w:eastAsia="zh-CN" w:bidi="ar"/>
              </w:rPr>
              <w:t>一般</w:t>
            </w:r>
          </w:p>
        </w:tc>
      </w:tr>
    </w:tbl>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61E55"/>
    <w:rsid w:val="01AA66A0"/>
    <w:rsid w:val="12961E55"/>
    <w:rsid w:val="3B5476E1"/>
    <w:rsid w:val="4126453A"/>
    <w:rsid w:val="6008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2021-02-27T07:23:00Z</dcterms:created>
  <dc:creator>刘柏涛</dc:creator>
  <cp:lastModifiedBy>刘柏涛</cp:lastModifiedBy>
  <dcterms:modified xsi:type="dcterms:W3CDTF">2021-02-27T09:16:40Z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