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right="0" w:left="3614" w:hanging="3614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t>关于对社会消防宣传服务机构进校园做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3614" w:hanging="3614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t>消防宣传培训工作的指导意见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校属各单位：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 xml:space="preserve">   按消防法规定，学校各单位对每名师生员工应当至少每年进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行一次消防安全培训；重点部位、公众聚焦场所消防安全培训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至少每半年进行一次；单位应当组织新上岗和进入新岗位的员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工进行上岗前的消防安全培训。为积极推进新《消防法》和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《高等学校消防安全管理规定》在学校的贯彻落实。为有效补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充我校消防培训力量，依据消防法和省消防条例的要求，积极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协调社会力量，依规有序进校进行消防知识和技能宣传。使宣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传培训工作有序开展，特做以下指导意见：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　　1、所有申请到学校做消防宣传服务的社会机构必须到校保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卫处消防科进行资质审核，审核合格者方可开展工作。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　　2、各单位主管消防工作的领导要对宣讲内容进行把关。宣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讲内容要紧密结合各单位工作实际，不得脱离消防主题，不得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擅自夸大，脱离实际。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　　3、社会消防宣传服务机构提供的培训服务均为免费。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　　4、各单位可以自主选择社会消防服务机构来校做宣传培训。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　　5、在组织单位同意的前提下，可以介绍部分消防产品的功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用及使用方法，但不得夸大效果和用途。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　　6、课后各组织单位要对校消防科进行意见反馈，对宣传机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构及宣讲人员做综合评分。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60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7、对消防宣传、演练等方面有其它要求的单位请及时联系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消防科，我们将大力做好支持和配合工作。</w:t>
      </w: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0"/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与我校长期合作社会消防宣传服务机构：</w:t>
      </w: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1、省消防协会宣传与服务中心</w:t>
      </w: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 xml:space="preserve">联系人：田丽曼  18137882886</w:t>
      </w: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 xml:space="preserve">2、河南省普安消防咨询服务中心 </w:t>
      </w: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 xml:space="preserve">   陈  梦  17703772352</w:t>
      </w: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4337"/>
        <w:rPr>
          <w:b w:val="0"/>
          <w:color w:val="auto"/>
          <w:position w:val="0"/>
          <w:sz w:val="30"/>
          <w:szCs w:val="30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4337"/>
        <w:rPr>
          <w:b w:val="0"/>
          <w:color w:val="auto"/>
          <w:position w:val="0"/>
          <w:sz w:val="30"/>
          <w:szCs w:val="30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b w:val="0"/>
          <w:color w:val="auto"/>
          <w:position w:val="0"/>
          <w:sz w:val="30"/>
          <w:szCs w:val="30"/>
          <w:rFonts w:ascii="仿宋_GB2312" w:eastAsia="仿宋_GB2312" w:hAnsi="仿宋_GB2312" w:hint="default"/>
        </w:rPr>
        <w:t>南阳师范学院防火委</w:t>
      </w: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3614"/>
        <w:rPr>
          <w:b w:val="0"/>
          <w:color w:val="auto"/>
          <w:position w:val="0"/>
          <w:sz w:val="30"/>
          <w:szCs w:val="30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b w:val="0"/>
          <w:color w:val="auto"/>
          <w:position w:val="0"/>
          <w:sz w:val="30"/>
          <w:szCs w:val="30"/>
          <w:rFonts w:ascii="仿宋_GB2312" w:eastAsia="仿宋_GB2312" w:hAnsi="仿宋_GB2312" w:hint="default"/>
        </w:rPr>
        <w:t>　　二零一九年三月二十日</w:t>
      </w: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3614"/>
        <w:rPr>
          <w:b w:val="0"/>
          <w:color w:val="auto"/>
          <w:position w:val="0"/>
          <w:sz w:val="30"/>
          <w:szCs w:val="30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left="0" w:firstLine="3614"/>
        <w:rPr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tLeast" w:line="500" w:before="0" w:after="0"/>
        <w:pageBreakBefore w:val="0"/>
        <w:ind w:right="0" w:left="0" w:firstLine="0"/>
        <w:rPr>
          <w:rStyle w:val="PO1"/>
          <w:spacing w:val="0"/>
          <w:b w:val="1"/>
          <w:color w:val="auto"/>
          <w:position w:val="0"/>
          <w:sz w:val="44"/>
          <w:szCs w:val="44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44"/>
          <w:szCs w:val="44"/>
          <w:rFonts w:ascii="仿宋" w:eastAsia="仿宋" w:hAnsi="仿宋" w:hint="default"/>
        </w:rPr>
        <w:t>2019年校属各单位消防培训意见反馈表</w:t>
      </w:r>
    </w:p>
    <w:p>
      <w:pPr>
        <w:bidi w:val="0"/>
        <w:numPr>
          <w:ilvl w:val="0"/>
          <w:numId w:val="0"/>
        </w:numPr>
        <w:jc w:val="center"/>
        <w:spacing w:lineRule="atLeast" w:line="50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40"/>
          <w:szCs w:val="40"/>
          <w:rFonts w:ascii="仿宋" w:eastAsia="仿宋" w:hAnsi="仿宋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40"/>
          <w:szCs w:val="40"/>
          <w:rFonts w:ascii="仿宋" w:eastAsia="仿宋" w:hAnsi="仿宋" w:hint="default"/>
        </w:rPr>
        <w:t>（此表格由组织单位在课后送消防科备案）</w:t>
      </w:r>
    </w:p>
    <w:tbl>
      <w:tblID w:val="0"/>
      <w:tblPr>
        <w:tblW w:w="8553" w:type="dxa"/>
        <w:tblLook w:val="000600" w:firstRow="0" w:lastRow="0" w:firstColumn="0" w:lastColumn="0" w:noHBand="1" w:noVBand="1"/>
      </w:tblPr>
      <w:tblGrid>
        <w:gridCol w:w="2082"/>
        <w:gridCol w:w="951"/>
        <w:gridCol w:w="889"/>
        <w:gridCol w:w="1129"/>
        <w:gridCol w:w="1762"/>
        <w:gridCol w:w="1740"/>
      </w:tblGrid>
      <w:tr>
        <w:trPr>
          <w:trHeight w:hRule="atleast" w:val="668"/>
          <w:hidden w:val="0"/>
        </w:trPr>
        <w:tc>
          <w:tcPr>
            <w:tcW w:type="dxa" w:w="20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组织单位</w:t>
            </w:r>
          </w:p>
        </w:tc>
        <w:tc>
          <w:tcPr>
            <w:tcW w:type="dxa" w:w="2969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76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日期</w:t>
            </w:r>
          </w:p>
        </w:tc>
        <w:tc>
          <w:tcPr>
            <w:tcW w:type="dxa" w:w="174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1039"/>
          <w:hidden w:val="0"/>
        </w:trPr>
        <w:tc>
          <w:tcPr>
            <w:tcW w:type="dxa" w:w="20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宣传机构</w:t>
            </w:r>
          </w:p>
        </w:tc>
        <w:tc>
          <w:tcPr>
            <w:tcW w:type="dxa" w:w="2969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76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授课人</w:t>
            </w:r>
          </w:p>
        </w:tc>
        <w:tc>
          <w:tcPr>
            <w:tcW w:type="dxa" w:w="174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740"/>
          <w:hidden w:val="0"/>
        </w:trPr>
        <w:tc>
          <w:tcPr>
            <w:tcW w:type="dxa" w:w="20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讲课形势</w:t>
            </w:r>
          </w:p>
        </w:tc>
        <w:tc>
          <w:tcPr>
            <w:tcW w:type="dxa" w:w="95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好</w:t>
            </w:r>
          </w:p>
        </w:tc>
        <w:tc>
          <w:tcPr>
            <w:tcW w:type="dxa" w:w="88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较好</w:t>
            </w:r>
          </w:p>
        </w:tc>
        <w:tc>
          <w:tcPr>
            <w:tcW w:type="dxa" w:w="11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差</w:t>
            </w:r>
          </w:p>
        </w:tc>
        <w:tc>
          <w:tcPr>
            <w:tcW w:type="dxa" w:w="176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综合评分</w:t>
            </w:r>
          </w:p>
        </w:tc>
        <w:tc>
          <w:tcPr>
            <w:tcW w:type="dxa" w:w="174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662"/>
          <w:hidden w:val="0"/>
        </w:trPr>
        <w:tc>
          <w:tcPr>
            <w:tcW w:type="dxa" w:w="20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讲课内容</w:t>
            </w:r>
          </w:p>
        </w:tc>
        <w:tc>
          <w:tcPr>
            <w:tcW w:type="dxa" w:w="95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好</w:t>
            </w:r>
          </w:p>
        </w:tc>
        <w:tc>
          <w:tcPr>
            <w:tcW w:type="dxa" w:w="88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较好</w:t>
            </w:r>
          </w:p>
        </w:tc>
        <w:tc>
          <w:tcPr>
            <w:tcW w:type="dxa" w:w="11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差</w:t>
            </w:r>
          </w:p>
        </w:tc>
        <w:tc>
          <w:tcPr>
            <w:tcW w:type="dxa" w:w="176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综全评分</w:t>
            </w:r>
          </w:p>
        </w:tc>
        <w:tc>
          <w:tcPr>
            <w:tcW w:type="dxa" w:w="174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1123"/>
          <w:hidden w:val="0"/>
        </w:trPr>
        <w:tc>
          <w:tcPr>
            <w:tcW w:type="dxa" w:w="20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师生满意程度</w:t>
            </w:r>
          </w:p>
        </w:tc>
        <w:tc>
          <w:tcPr>
            <w:tcW w:type="dxa" w:w="95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满意</w:t>
            </w:r>
          </w:p>
        </w:tc>
        <w:tc>
          <w:tcPr>
            <w:tcW w:type="dxa" w:w="88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较好</w:t>
            </w:r>
          </w:p>
        </w:tc>
        <w:tc>
          <w:tcPr>
            <w:tcW w:type="dxa" w:w="11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不满意</w:t>
            </w:r>
          </w:p>
        </w:tc>
        <w:tc>
          <w:tcPr>
            <w:tcW w:type="dxa" w:w="176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综合评分</w:t>
            </w:r>
          </w:p>
        </w:tc>
        <w:tc>
          <w:tcPr>
            <w:tcW w:type="dxa" w:w="174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1178"/>
          <w:hidden w:val="0"/>
        </w:trPr>
        <w:tc>
          <w:tcPr>
            <w:tcW w:type="dxa" w:w="20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有无强行买卖</w:t>
            </w: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消防产品</w:t>
            </w:r>
          </w:p>
        </w:tc>
        <w:tc>
          <w:tcPr>
            <w:tcW w:type="dxa" w:w="95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有</w:t>
            </w:r>
          </w:p>
        </w:tc>
        <w:tc>
          <w:tcPr>
            <w:tcW w:type="dxa" w:w="2018"/>
            <w:tcMar>
              <w:left w:w="108" w:type="dxa"/>
              <w:right w:w="108" w:type="dxa"/>
            </w:tcMar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无</w:t>
            </w:r>
          </w:p>
        </w:tc>
        <w:tc>
          <w:tcPr>
            <w:tcW w:type="dxa" w:w="176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参加培训人</w:t>
            </w: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员及人数</w:t>
            </w:r>
          </w:p>
        </w:tc>
        <w:tc>
          <w:tcPr>
            <w:tcW w:type="dxa" w:w="174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6529"/>
          <w:hidden w:val="0"/>
        </w:trPr>
        <w:tc>
          <w:tcPr>
            <w:tcW w:type="dxa" w:w="20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对继续做好消</w:t>
            </w: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防宣传的意见</w:t>
            </w: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和建议</w:t>
            </w:r>
          </w:p>
        </w:tc>
        <w:tc>
          <w:tcPr>
            <w:tcW w:type="dxa" w:w="6471"/>
            <w:tcMar>
              <w:left w:w="108" w:type="dxa"/>
              <w:right w:w="108" w:type="dxa"/>
            </w:tcMar>
            <w:vAlign w:val="top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　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　　　　　　　　　　　　　签名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tLeast" w:line="50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　　　　　　　　　　　　　盖章　　　　　</w:t>
            </w: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　　　　　　　　　　　　　　　　　　　　</w:t>
            </w: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　　　　　　　　　　　　　　　　　　　　</w:t>
            </w: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　　　　　　　　　　　　　　　　　　　　</w:t>
            </w:r>
            <w:r>
              <w:rPr>
                <w:rStyle w:val="PO1"/>
                <w:spacing w:val="0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　　　　　</w:t>
            </w:r>
          </w:p>
        </w:tc>
      </w:tr>
    </w:tbl>
    <w:sectPr>
      <w:endnotePr>
        <w:numFmt w:val="decimal"/>
        <w:numRestart w:val="continuous"/>
        <w:numStart w:val="1"/>
        <w:pos w:val="docEnd"/>
      </w:endnotePr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left"/>
      <w:spacing w:lineRule="auto" w:line="240" w:before="0" w:after="0"/>
      <w:ind w:right="0" w:left="0" w:firstLine="0"/>
      <w:tabs>
        <w:tab w:val="center" w:pos="4153"/>
        <w:tab w:val="right" w:pos="8306"/>
      </w:tabs>
      <w:rPr>
        <w:color w:val="auto"/>
        <w:position w:val="0"/>
        <w:sz w:val="21"/>
        <w:szCs w:val="21"/>
        <w:rFonts w:ascii="Calibri" w:eastAsia="宋体" w:hAnsi="宋体" w:hint="default"/>
      </w:rPr>
      <w:wordWrap w:val="off"/>
      <w:snapToGrid w:val="off"/>
      <w:autoSpaceDE w:val="1"/>
      <w:autoSpaceDN w:val="1"/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3" type="#_x0000_t202" style="position:absolute;left:0;margin-left:205pt;mso-position-horizontal:absolute;mso-position-horizontal-relative:margin;margin-top:0pt;mso-position-vertical:absolute;mso-position-vertical-relative:text;width:5.0pt;height:12.9pt;z-index:251624960;mso-wrap-style:none" stroked="f" filled="f">
          <v:textbox style="mso-fit-shape-to-text:t;" inset="0pt,0pt,0pt,0pt">
            <w:txbxContent>
              <w:p>
                <w:pPr>
                  <w:numPr>
                    <w:ilvl w:val="0"/>
                    <w:numId w:val="0"/>
                  </w:numPr>
                  <w:jc w:val="left"/>
                  <w:spacing w:lineRule="auto" w:line="240" w:before="0" w:after="0"/>
                  <w:ind w:right="0" w:left="0" w:firstLine="0"/>
                  <w:tabs>
                    <w:tab w:val="center" w:pos="4153"/>
                    <w:tab w:val="right" w:pos="8306"/>
                  </w:tabs>
                  <w:rPr>
                    <w:color w:val="auto"/>
                    <w:position w:val="0"/>
                    <w:sz w:val="18"/>
                    <w:szCs w:val="18"/>
                    <w:rFonts w:ascii="Calibri" w:eastAsia="宋体" w:hAnsi="宋体" w:hint="default"/>
                  </w:rPr>
                  <w:wordWrap w:val="off"/>
                  <w:snapToGrid w:val="off"/>
                  <w:autoSpaceDE w:val="1"/>
                  <w:autoSpaceDN w:val="1"/>
                </w:pPr>
                <w:r>
                  <w:rPr>
                    <w:color w:val="auto"/>
                    <w:position w:val="0"/>
                    <w:sz w:val="21"/>
                    <w:szCs w:val="21"/>
                    <w:rFonts w:ascii="Times New Roman" w:eastAsia="Times New Roman" w:hAnsi="Times New Roman" w:hint="default"/>
                  </w:rPr>
                  <w:fldChar w:fldCharType="begin"/>
                </w:r>
                <w:r>
                  <w:rPr>
                    <w:color w:val="auto"/>
                    <w:position w:val="0"/>
                    <w:sz w:val="21"/>
                    <w:szCs w:val="21"/>
                    <w:rFonts w:ascii="Times New Roman" w:eastAsia="Times New Roman" w:hAnsi="Times New Roman" w:hint="default"/>
                    <w:rFonts w:hint="eastAsia"/>
                  </w:rPr>
                  <w:instrText>PAGE \* Arabic \* MERGEFORMAT</w:instrText>
                </w:r>
                <w:r>
                  <w:fldChar w:fldCharType="separate"/>
                </w:r>
                <w:r>
                  <w:rPr>
                    <w:color w:val="auto"/>
                    <w:position w:val="0"/>
                    <w:sz w:val="20"/>
                    <w:szCs w:val="20"/>
                    <w:rFonts w:ascii="宋体" w:eastAsia="宋体" w:hAnsi="宋体" w:hint="default"/>
                  </w:rPr>
                  <w:t>1</w:t>
                </w:r>
                <w:r>
                  <w:rPr>
                    <w:color w:val="auto"/>
                    <w:position w:val="0"/>
                    <w:sz w:val="18"/>
                    <w:szCs w:val="18"/>
                    <w:rFonts w:ascii="Calibri" w:eastAsia="宋体" w:hAnsi="宋体"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4</Lines>
  <LinksUpToDate>false</LinksUpToDate>
  <Pages>2</Pages>
  <Paragraphs>1</Paragraphs>
  <Words>104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2019-03-26T08:35:00Z</dcterms:modified>
</cp:coreProperties>
</file>